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92A6" w14:textId="77777777" w:rsidR="007A7D64" w:rsidRDefault="007A7D64" w:rsidP="007A7D64">
      <w:pPr>
        <w:pStyle w:val="Heading1"/>
        <w:spacing w:before="300" w:line="312" w:lineRule="atLeast"/>
      </w:pPr>
      <w:hyperlink r:id="rId4" w:history="1">
        <w:r w:rsidRPr="006F736F">
          <w:rPr>
            <w:rStyle w:val="Hyperlink"/>
          </w:rPr>
          <w:t>https://tervisetestid.ee/uudised/isotooniline-lahus-vs-h%C3%BCpertooniline-lahus-kumb-sobib-nina-loputamiseks</w:t>
        </w:r>
      </w:hyperlink>
    </w:p>
    <w:p w14:paraId="7AA80B52" w14:textId="2B88F8E1" w:rsidR="007A7D64" w:rsidRPr="007A7D64" w:rsidRDefault="007A7D64" w:rsidP="007A7D64">
      <w:pPr>
        <w:pStyle w:val="Heading1"/>
        <w:spacing w:before="300" w:line="312" w:lineRule="atLeast"/>
        <w:rPr>
          <w:rFonts w:ascii="Arial" w:eastAsia="Times New Roman" w:hAnsi="Arial" w:cs="Arial"/>
          <w:b/>
          <w:bCs/>
          <w:color w:val="646464"/>
          <w:kern w:val="36"/>
          <w:sz w:val="36"/>
          <w:szCs w:val="36"/>
          <w:lang w:eastAsia="et-EE"/>
        </w:rPr>
      </w:pPr>
      <w:r w:rsidRPr="007A7D64">
        <w:rPr>
          <w:rFonts w:ascii="Arial" w:eastAsia="Times New Roman" w:hAnsi="Arial" w:cs="Arial"/>
          <w:b/>
          <w:bCs/>
          <w:color w:val="646464"/>
          <w:kern w:val="36"/>
          <w:sz w:val="36"/>
          <w:szCs w:val="36"/>
          <w:lang w:eastAsia="et-EE"/>
        </w:rPr>
        <w:t>Isotooniline lahus vs hüpertooniline lahus? Kumb sobib nina loputamiseks?</w:t>
      </w:r>
    </w:p>
    <w:p w14:paraId="1BC746D2" w14:textId="77777777" w:rsidR="007A7D64" w:rsidRPr="007A7D64" w:rsidRDefault="007A7D64" w:rsidP="007A7D64">
      <w:pPr>
        <w:spacing w:after="90" w:line="240" w:lineRule="auto"/>
        <w:rPr>
          <w:rFonts w:ascii="Arial" w:eastAsia="Times New Roman" w:hAnsi="Arial" w:cs="Arial"/>
          <w:color w:val="999999"/>
          <w:sz w:val="23"/>
          <w:szCs w:val="23"/>
          <w:lang w:eastAsia="et-EE"/>
        </w:rPr>
      </w:pPr>
      <w:r w:rsidRPr="007A7D64">
        <w:rPr>
          <w:rFonts w:ascii="Arial" w:eastAsia="Times New Roman" w:hAnsi="Arial" w:cs="Arial"/>
          <w:color w:val="999999"/>
          <w:sz w:val="23"/>
          <w:szCs w:val="23"/>
          <w:lang w:eastAsia="et-EE"/>
        </w:rPr>
        <w:t>Postitatud 20/01/2022 - 18:34</w:t>
      </w:r>
    </w:p>
    <w:p w14:paraId="46F4ADD8" w14:textId="77777777" w:rsidR="007A7D64" w:rsidRPr="007A7D64" w:rsidRDefault="007A7D64" w:rsidP="007A7D64">
      <w:pPr>
        <w:spacing w:before="240" w:after="240" w:line="240" w:lineRule="auto"/>
        <w:rPr>
          <w:rFonts w:ascii="Arial" w:eastAsia="Times New Roman" w:hAnsi="Arial" w:cs="Arial"/>
          <w:color w:val="646464"/>
          <w:sz w:val="26"/>
          <w:szCs w:val="26"/>
          <w:lang w:eastAsia="et-EE"/>
        </w:rPr>
      </w:pPr>
      <w:r w:rsidRPr="007A7D64">
        <w:rPr>
          <w:rFonts w:ascii="Arial" w:eastAsia="Times New Roman" w:hAnsi="Arial" w:cs="Arial"/>
          <w:color w:val="646464"/>
          <w:sz w:val="26"/>
          <w:szCs w:val="26"/>
          <w:lang w:eastAsia="et-EE"/>
        </w:rPr>
        <w:t>Mis on hüpertooniline lahus ja mis isotooniline ja mis vahet neil on?  Panime kokku väikese tabeli, mis selle teema sulle ehk pisut selgemaks teeb.</w:t>
      </w:r>
    </w:p>
    <w:tbl>
      <w:tblPr>
        <w:tblW w:w="1125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5621"/>
        <w:gridCol w:w="5629"/>
      </w:tblGrid>
      <w:tr w:rsidR="007A7D64" w:rsidRPr="007A7D64" w14:paraId="318552C5" w14:textId="77777777" w:rsidTr="007A7D64">
        <w:trPr>
          <w:tblHeader/>
        </w:trPr>
        <w:tc>
          <w:tcPr>
            <w:tcW w:w="0" w:type="auto"/>
            <w:tcBorders>
              <w:top w:val="outset" w:sz="6" w:space="0" w:color="auto"/>
              <w:left w:val="outset" w:sz="6" w:space="0" w:color="auto"/>
              <w:bottom w:val="nil"/>
              <w:right w:val="outset" w:sz="6" w:space="0" w:color="auto"/>
            </w:tcBorders>
            <w:tcMar>
              <w:top w:w="75" w:type="dxa"/>
              <w:left w:w="75" w:type="dxa"/>
              <w:bottom w:w="75" w:type="dxa"/>
              <w:right w:w="75" w:type="dxa"/>
            </w:tcMar>
            <w:vAlign w:val="center"/>
            <w:hideMark/>
          </w:tcPr>
          <w:p w14:paraId="33BE2337" w14:textId="77777777" w:rsidR="007A7D64" w:rsidRPr="007A7D64" w:rsidRDefault="007A7D64" w:rsidP="007A7D64">
            <w:pPr>
              <w:spacing w:before="240" w:after="240" w:line="315" w:lineRule="atLeast"/>
              <w:rPr>
                <w:rFonts w:ascii="Arial" w:eastAsia="Times New Roman" w:hAnsi="Arial" w:cs="Arial"/>
                <w:b/>
                <w:bCs/>
                <w:sz w:val="26"/>
                <w:szCs w:val="26"/>
                <w:lang w:eastAsia="et-EE"/>
              </w:rPr>
            </w:pPr>
            <w:r w:rsidRPr="007A7D64">
              <w:rPr>
                <w:rFonts w:ascii="Arial" w:eastAsia="Times New Roman" w:hAnsi="Arial" w:cs="Arial"/>
                <w:b/>
                <w:bCs/>
                <w:sz w:val="27"/>
                <w:szCs w:val="27"/>
                <w:lang w:eastAsia="et-EE"/>
              </w:rPr>
              <w:t>Isotooniline lahus</w:t>
            </w:r>
          </w:p>
        </w:tc>
        <w:tc>
          <w:tcPr>
            <w:tcW w:w="0" w:type="auto"/>
            <w:tcBorders>
              <w:top w:val="outset" w:sz="6" w:space="0" w:color="auto"/>
              <w:left w:val="outset" w:sz="6" w:space="0" w:color="auto"/>
              <w:bottom w:val="nil"/>
              <w:right w:val="outset" w:sz="6" w:space="0" w:color="auto"/>
            </w:tcBorders>
            <w:tcMar>
              <w:top w:w="75" w:type="dxa"/>
              <w:left w:w="75" w:type="dxa"/>
              <w:bottom w:w="75" w:type="dxa"/>
              <w:right w:w="75" w:type="dxa"/>
            </w:tcMar>
            <w:vAlign w:val="center"/>
            <w:hideMark/>
          </w:tcPr>
          <w:p w14:paraId="2059D677" w14:textId="77777777" w:rsidR="007A7D64" w:rsidRPr="007A7D64" w:rsidRDefault="007A7D64" w:rsidP="007A7D64">
            <w:pPr>
              <w:spacing w:before="240" w:after="240" w:line="315" w:lineRule="atLeast"/>
              <w:rPr>
                <w:rFonts w:ascii="Arial" w:eastAsia="Times New Roman" w:hAnsi="Arial" w:cs="Arial"/>
                <w:b/>
                <w:bCs/>
                <w:sz w:val="26"/>
                <w:szCs w:val="26"/>
                <w:lang w:eastAsia="et-EE"/>
              </w:rPr>
            </w:pPr>
            <w:r w:rsidRPr="007A7D64">
              <w:rPr>
                <w:rFonts w:ascii="Arial" w:eastAsia="Times New Roman" w:hAnsi="Arial" w:cs="Arial"/>
                <w:b/>
                <w:bCs/>
                <w:sz w:val="27"/>
                <w:szCs w:val="27"/>
                <w:lang w:eastAsia="et-EE"/>
              </w:rPr>
              <w:t>Hüpertooniline lahus</w:t>
            </w:r>
          </w:p>
        </w:tc>
      </w:tr>
      <w:tr w:rsidR="007A7D64" w:rsidRPr="007A7D64" w14:paraId="433275C8" w14:textId="77777777" w:rsidTr="007A7D64">
        <w:tc>
          <w:tcPr>
            <w:tcW w:w="0" w:type="auto"/>
            <w:tcBorders>
              <w:top w:val="outset" w:sz="6" w:space="0" w:color="auto"/>
              <w:left w:val="outset" w:sz="6" w:space="0" w:color="auto"/>
              <w:bottom w:val="outset" w:sz="6" w:space="0" w:color="auto"/>
              <w:right w:val="outset" w:sz="6" w:space="0" w:color="auto"/>
            </w:tcBorders>
            <w:hideMark/>
          </w:tcPr>
          <w:p w14:paraId="62C52A9A" w14:textId="77777777" w:rsidR="007A7D64" w:rsidRPr="007A7D64" w:rsidRDefault="007A7D64" w:rsidP="007A7D64">
            <w:pPr>
              <w:spacing w:before="240" w:after="240" w:line="450" w:lineRule="atLeast"/>
              <w:rPr>
                <w:rFonts w:ascii="Arial" w:eastAsia="Times New Roman" w:hAnsi="Arial" w:cs="Arial"/>
                <w:sz w:val="20"/>
                <w:szCs w:val="20"/>
                <w:lang w:eastAsia="et-EE"/>
              </w:rPr>
            </w:pPr>
            <w:r w:rsidRPr="007A7D64">
              <w:rPr>
                <w:rFonts w:ascii="Arial" w:eastAsia="Times New Roman" w:hAnsi="Arial" w:cs="Arial"/>
                <w:b/>
                <w:bCs/>
                <w:sz w:val="20"/>
                <w:szCs w:val="20"/>
                <w:lang w:eastAsia="et-EE"/>
              </w:rPr>
              <w:t>Isotooniline ehk isoosmootne lahus </w:t>
            </w:r>
            <w:r w:rsidRPr="007A7D64">
              <w:rPr>
                <w:rFonts w:ascii="Arial" w:eastAsia="Times New Roman" w:hAnsi="Arial" w:cs="Arial"/>
                <w:sz w:val="20"/>
                <w:szCs w:val="20"/>
                <w:lang w:eastAsia="et-EE"/>
              </w:rPr>
              <w:t> sobib igapäevaseks ninaloputuseks, sest selles olev soola kontsentratsioon on sama suur kui sinu keha kudedes – ca 0,9%. Enamasti sobib see ka inhalaatorisse, sh võrkinhalaatorisse. Muidugi ei tohi sa unustada pärast soolalahuse kasutamist inhalaatori ravimikambrit korralikult puhastada - ka 0,9% lahus, kui ta jääb ravimikambrisse seisma, mõjub seadme õrnadele komponentidele hukutavalt.</w:t>
            </w:r>
          </w:p>
        </w:tc>
        <w:tc>
          <w:tcPr>
            <w:tcW w:w="0" w:type="auto"/>
            <w:tcBorders>
              <w:top w:val="outset" w:sz="6" w:space="0" w:color="auto"/>
              <w:left w:val="outset" w:sz="6" w:space="0" w:color="auto"/>
              <w:bottom w:val="outset" w:sz="6" w:space="0" w:color="auto"/>
              <w:right w:val="outset" w:sz="6" w:space="0" w:color="auto"/>
            </w:tcBorders>
            <w:hideMark/>
          </w:tcPr>
          <w:p w14:paraId="41004A62" w14:textId="77777777" w:rsidR="007A7D64" w:rsidRPr="007A7D64" w:rsidRDefault="007A7D64" w:rsidP="007A7D64">
            <w:pPr>
              <w:spacing w:after="0" w:line="450" w:lineRule="atLeast"/>
              <w:rPr>
                <w:rFonts w:ascii="Arial" w:eastAsia="Times New Roman" w:hAnsi="Arial" w:cs="Arial"/>
                <w:sz w:val="20"/>
                <w:szCs w:val="20"/>
                <w:lang w:eastAsia="et-EE"/>
              </w:rPr>
            </w:pPr>
            <w:r w:rsidRPr="007A7D64">
              <w:rPr>
                <w:rFonts w:ascii="Arial" w:eastAsia="Times New Roman" w:hAnsi="Arial" w:cs="Arial"/>
                <w:b/>
                <w:bCs/>
                <w:sz w:val="20"/>
                <w:szCs w:val="20"/>
                <w:lang w:eastAsia="et-EE"/>
              </w:rPr>
              <w:t>Hüpertooniline ehk hüperosmootne lahus</w:t>
            </w:r>
            <w:r w:rsidRPr="007A7D64">
              <w:rPr>
                <w:rFonts w:ascii="Arial" w:eastAsia="Times New Roman" w:hAnsi="Arial" w:cs="Arial"/>
                <w:sz w:val="20"/>
                <w:szCs w:val="20"/>
                <w:lang w:eastAsia="et-EE"/>
              </w:rPr>
              <w:t xml:space="preserve">  ei ole mõeldud pidevaks kasutamiseks, vaid pigem raviotstarbel. Ta on soolsuselt kangem – tema NaCl sisaldus (NaCl on köögis tuntud kui keedusool) on umbes 2,6-2,8%. Kas mäletad, et koolis õpetati, et väiksema kontsentratsiooniga keskkonnast liigub vedelik suurema kontsentratsiooni suunas? See tähendab piltlikult, et kui sinu ninarakkudes on palju vedelikku (ehk nina on kinni), siis see vedelik liigub ninna pihustatud hüpertoonilise vedeliku suunas, mistõttu turse alaneb ja sa saad kergemini hingata. Üldiselt ei sobi </w:t>
            </w:r>
            <w:r w:rsidRPr="007A7D64">
              <w:rPr>
                <w:rFonts w:ascii="Arial" w:eastAsia="Times New Roman" w:hAnsi="Arial" w:cs="Arial"/>
                <w:sz w:val="20"/>
                <w:szCs w:val="20"/>
                <w:lang w:eastAsia="et-EE"/>
              </w:rPr>
              <w:lastRenderedPageBreak/>
              <w:t>see lahus aga inhalaatorites kasutamiseks (kui ei ole märgitud teisiti). </w:t>
            </w:r>
            <w:r w:rsidRPr="007A7D64">
              <w:rPr>
                <w:rFonts w:ascii="Arial" w:eastAsia="Times New Roman" w:hAnsi="Arial" w:cs="Arial"/>
                <w:sz w:val="20"/>
                <w:szCs w:val="20"/>
                <w:lang w:eastAsia="et-EE"/>
              </w:rPr>
              <w:br/>
            </w:r>
            <w:r w:rsidRPr="007A7D64">
              <w:rPr>
                <w:rFonts w:ascii="Arial" w:eastAsia="Times New Roman" w:hAnsi="Arial" w:cs="Arial"/>
                <w:b/>
                <w:bCs/>
                <w:sz w:val="20"/>
                <w:szCs w:val="20"/>
                <w:lang w:eastAsia="et-EE"/>
              </w:rPr>
              <w:t>Palun loe pakendi infolehelt, kas sobib väikestele lastele.</w:t>
            </w:r>
            <w:r w:rsidRPr="007A7D64">
              <w:rPr>
                <w:rFonts w:ascii="Arial" w:eastAsia="Times New Roman" w:hAnsi="Arial" w:cs="Arial"/>
                <w:sz w:val="20"/>
                <w:szCs w:val="20"/>
                <w:lang w:eastAsia="et-EE"/>
              </w:rPr>
              <w:t> Tavaliselt ei soovitata alla 1-aastastele.</w:t>
            </w:r>
          </w:p>
        </w:tc>
      </w:tr>
      <w:tr w:rsidR="007A7D64" w:rsidRPr="007A7D64" w14:paraId="2B5FD8CB" w14:textId="77777777" w:rsidTr="007A7D64">
        <w:tc>
          <w:tcPr>
            <w:tcW w:w="0" w:type="auto"/>
            <w:tcBorders>
              <w:top w:val="outset" w:sz="6" w:space="0" w:color="auto"/>
              <w:left w:val="outset" w:sz="6" w:space="0" w:color="auto"/>
              <w:bottom w:val="outset" w:sz="6" w:space="0" w:color="auto"/>
              <w:right w:val="outset" w:sz="6" w:space="0" w:color="auto"/>
            </w:tcBorders>
            <w:hideMark/>
          </w:tcPr>
          <w:p w14:paraId="01DD4DE1" w14:textId="77777777" w:rsidR="007A7D64" w:rsidRPr="007A7D64" w:rsidRDefault="007A7D64" w:rsidP="007A7D64">
            <w:pPr>
              <w:spacing w:after="0" w:line="450" w:lineRule="atLeast"/>
              <w:rPr>
                <w:rFonts w:ascii="Arial" w:eastAsia="Times New Roman" w:hAnsi="Arial" w:cs="Arial"/>
                <w:sz w:val="20"/>
                <w:szCs w:val="20"/>
                <w:lang w:eastAsia="et-EE"/>
              </w:rPr>
            </w:pPr>
            <w:r w:rsidRPr="007A7D64">
              <w:rPr>
                <w:rFonts w:ascii="Arial" w:eastAsia="Times New Roman" w:hAnsi="Arial" w:cs="Arial"/>
                <w:b/>
                <w:bCs/>
                <w:sz w:val="20"/>
                <w:szCs w:val="20"/>
                <w:lang w:eastAsia="et-EE"/>
              </w:rPr>
              <w:lastRenderedPageBreak/>
              <w:t>Mis on isotoonilise lahuse NaCl kontsentratsioon?</w:t>
            </w:r>
            <w:r w:rsidRPr="007A7D64">
              <w:rPr>
                <w:rFonts w:ascii="Arial" w:eastAsia="Times New Roman" w:hAnsi="Arial" w:cs="Arial"/>
                <w:sz w:val="20"/>
                <w:szCs w:val="20"/>
                <w:lang w:eastAsia="et-EE"/>
              </w:rPr>
              <w:br/>
              <w:t>Isotoonilise lahuse soolsus on 0,9%.</w:t>
            </w:r>
          </w:p>
        </w:tc>
        <w:tc>
          <w:tcPr>
            <w:tcW w:w="0" w:type="auto"/>
            <w:tcBorders>
              <w:top w:val="outset" w:sz="6" w:space="0" w:color="auto"/>
              <w:left w:val="outset" w:sz="6" w:space="0" w:color="auto"/>
              <w:bottom w:val="outset" w:sz="6" w:space="0" w:color="auto"/>
              <w:right w:val="outset" w:sz="6" w:space="0" w:color="auto"/>
            </w:tcBorders>
            <w:hideMark/>
          </w:tcPr>
          <w:p w14:paraId="22016A83" w14:textId="77777777" w:rsidR="007A7D64" w:rsidRPr="007A7D64" w:rsidRDefault="007A7D64" w:rsidP="007A7D64">
            <w:pPr>
              <w:spacing w:after="0" w:line="450" w:lineRule="atLeast"/>
              <w:rPr>
                <w:rFonts w:ascii="Arial" w:eastAsia="Times New Roman" w:hAnsi="Arial" w:cs="Arial"/>
                <w:sz w:val="20"/>
                <w:szCs w:val="20"/>
                <w:lang w:eastAsia="et-EE"/>
              </w:rPr>
            </w:pPr>
            <w:r w:rsidRPr="007A7D64">
              <w:rPr>
                <w:rFonts w:ascii="Arial" w:eastAsia="Times New Roman" w:hAnsi="Arial" w:cs="Arial"/>
                <w:b/>
                <w:bCs/>
                <w:sz w:val="20"/>
                <w:szCs w:val="20"/>
                <w:lang w:eastAsia="et-EE"/>
              </w:rPr>
              <w:t>Mis on hüpertoonilise lahuse NaCl kontsentratsioon?</w:t>
            </w:r>
            <w:r w:rsidRPr="007A7D64">
              <w:rPr>
                <w:rFonts w:ascii="Arial" w:eastAsia="Times New Roman" w:hAnsi="Arial" w:cs="Arial"/>
                <w:sz w:val="20"/>
                <w:szCs w:val="20"/>
                <w:lang w:eastAsia="et-EE"/>
              </w:rPr>
              <w:br/>
              <w:t>Hüpertoonilisel lahuse soolsus võrdub 2,6% naatriumkloriidi sisaldusega. Looduslikel lahustel, mis meil müügil, on see 2,1 – 2,7%. </w:t>
            </w:r>
          </w:p>
        </w:tc>
      </w:tr>
      <w:tr w:rsidR="007A7D64" w:rsidRPr="007A7D64" w14:paraId="2860E808" w14:textId="77777777" w:rsidTr="007A7D64">
        <w:tc>
          <w:tcPr>
            <w:tcW w:w="0" w:type="auto"/>
            <w:tcBorders>
              <w:top w:val="outset" w:sz="6" w:space="0" w:color="auto"/>
              <w:left w:val="outset" w:sz="6" w:space="0" w:color="auto"/>
              <w:bottom w:val="outset" w:sz="6" w:space="0" w:color="auto"/>
              <w:right w:val="outset" w:sz="6" w:space="0" w:color="auto"/>
            </w:tcBorders>
            <w:hideMark/>
          </w:tcPr>
          <w:p w14:paraId="170CACE1" w14:textId="77777777" w:rsidR="007A7D64" w:rsidRPr="007A7D64" w:rsidRDefault="007A7D64" w:rsidP="007A7D64">
            <w:pPr>
              <w:spacing w:after="0" w:line="450" w:lineRule="atLeast"/>
              <w:rPr>
                <w:rFonts w:ascii="Arial" w:eastAsia="Times New Roman" w:hAnsi="Arial" w:cs="Arial"/>
                <w:sz w:val="20"/>
                <w:szCs w:val="20"/>
                <w:lang w:eastAsia="et-EE"/>
              </w:rPr>
            </w:pPr>
            <w:r w:rsidRPr="007A7D64">
              <w:rPr>
                <w:rFonts w:ascii="Arial" w:eastAsia="Times New Roman" w:hAnsi="Arial" w:cs="Arial"/>
                <w:b/>
                <w:bCs/>
                <w:sz w:val="20"/>
                <w:szCs w:val="20"/>
                <w:lang w:eastAsia="et-EE"/>
              </w:rPr>
              <w:t>Kus isotoonilist lahust kasutatakse? </w:t>
            </w:r>
            <w:r w:rsidRPr="007A7D64">
              <w:rPr>
                <w:rFonts w:ascii="Arial" w:eastAsia="Times New Roman" w:hAnsi="Arial" w:cs="Arial"/>
                <w:sz w:val="20"/>
                <w:szCs w:val="20"/>
                <w:lang w:eastAsia="et-EE"/>
              </w:rPr>
              <w:br/>
              <w:t>1.    Kui peale õnnetust, operatsiooni vms on tekkinud suur vere- ja vedelikukaotus, viiakse tilgutiga ja kanüüli abil seda lahust inimese organismi.</w:t>
            </w:r>
            <w:r w:rsidRPr="007A7D64">
              <w:rPr>
                <w:rFonts w:ascii="Arial" w:eastAsia="Times New Roman" w:hAnsi="Arial" w:cs="Arial"/>
                <w:sz w:val="20"/>
                <w:szCs w:val="20"/>
                <w:lang w:eastAsia="et-EE"/>
              </w:rPr>
              <w:br/>
              <w:t>2.    Loputuslahus peale operatsiooni.</w:t>
            </w:r>
            <w:r w:rsidRPr="007A7D64">
              <w:rPr>
                <w:rFonts w:ascii="Arial" w:eastAsia="Times New Roman" w:hAnsi="Arial" w:cs="Arial"/>
                <w:sz w:val="20"/>
                <w:szCs w:val="20"/>
                <w:lang w:eastAsia="et-EE"/>
              </w:rPr>
              <w:br/>
              <w:t xml:space="preserve">3.    Isotoonilist lahust sisaldavad ka mitmed </w:t>
            </w:r>
            <w:r w:rsidRPr="007A7D64">
              <w:rPr>
                <w:rFonts w:ascii="Arial" w:eastAsia="Times New Roman" w:hAnsi="Arial" w:cs="Arial"/>
                <w:sz w:val="20"/>
                <w:szCs w:val="20"/>
                <w:lang w:eastAsia="et-EE"/>
              </w:rPr>
              <w:lastRenderedPageBreak/>
              <w:t>hügieenitooted.</w:t>
            </w:r>
            <w:r w:rsidRPr="007A7D64">
              <w:rPr>
                <w:rFonts w:ascii="Arial" w:eastAsia="Times New Roman" w:hAnsi="Arial" w:cs="Arial"/>
                <w:sz w:val="20"/>
                <w:szCs w:val="20"/>
                <w:lang w:eastAsia="et-EE"/>
              </w:rPr>
              <w:br/>
              <w:t>4.    Ninaspreid, lahused inhalaatorites kasutamiseks.</w:t>
            </w:r>
          </w:p>
        </w:tc>
        <w:tc>
          <w:tcPr>
            <w:tcW w:w="0" w:type="auto"/>
            <w:tcBorders>
              <w:top w:val="outset" w:sz="6" w:space="0" w:color="auto"/>
              <w:left w:val="outset" w:sz="6" w:space="0" w:color="auto"/>
              <w:bottom w:val="outset" w:sz="6" w:space="0" w:color="auto"/>
              <w:right w:val="outset" w:sz="6" w:space="0" w:color="auto"/>
            </w:tcBorders>
            <w:hideMark/>
          </w:tcPr>
          <w:p w14:paraId="5C50F201" w14:textId="77777777" w:rsidR="007A7D64" w:rsidRPr="007A7D64" w:rsidRDefault="007A7D64" w:rsidP="007A7D64">
            <w:pPr>
              <w:spacing w:after="0" w:line="450" w:lineRule="atLeast"/>
              <w:rPr>
                <w:rFonts w:ascii="Arial" w:eastAsia="Times New Roman" w:hAnsi="Arial" w:cs="Arial"/>
                <w:sz w:val="20"/>
                <w:szCs w:val="20"/>
                <w:lang w:eastAsia="et-EE"/>
              </w:rPr>
            </w:pPr>
            <w:r w:rsidRPr="007A7D64">
              <w:rPr>
                <w:rFonts w:ascii="Arial" w:eastAsia="Times New Roman" w:hAnsi="Arial" w:cs="Arial"/>
                <w:b/>
                <w:bCs/>
                <w:sz w:val="20"/>
                <w:szCs w:val="20"/>
                <w:lang w:eastAsia="et-EE"/>
              </w:rPr>
              <w:lastRenderedPageBreak/>
              <w:t>Kus hüpertoonilist lahust kasutatakse?</w:t>
            </w:r>
            <w:r w:rsidRPr="007A7D64">
              <w:rPr>
                <w:rFonts w:ascii="Arial" w:eastAsia="Times New Roman" w:hAnsi="Arial" w:cs="Arial"/>
                <w:sz w:val="20"/>
                <w:szCs w:val="20"/>
                <w:lang w:eastAsia="et-EE"/>
              </w:rPr>
              <w:br/>
              <w:t>1.    Nohuravimites.</w:t>
            </w:r>
            <w:r w:rsidRPr="007A7D64">
              <w:rPr>
                <w:rFonts w:ascii="Arial" w:eastAsia="Times New Roman" w:hAnsi="Arial" w:cs="Arial"/>
                <w:sz w:val="20"/>
                <w:szCs w:val="20"/>
                <w:lang w:eastAsia="et-EE"/>
              </w:rPr>
              <w:br/>
              <w:t>2.    Silmatilkades.</w:t>
            </w:r>
            <w:r w:rsidRPr="007A7D64">
              <w:rPr>
                <w:rFonts w:ascii="Arial" w:eastAsia="Times New Roman" w:hAnsi="Arial" w:cs="Arial"/>
                <w:sz w:val="20"/>
                <w:szCs w:val="20"/>
                <w:lang w:eastAsia="et-EE"/>
              </w:rPr>
              <w:br/>
              <w:t>3.    Mõningate operatsioonide järel (nt rõhu alandamiseks).</w:t>
            </w:r>
            <w:r w:rsidRPr="007A7D64">
              <w:rPr>
                <w:rFonts w:ascii="Arial" w:eastAsia="Times New Roman" w:hAnsi="Arial" w:cs="Arial"/>
                <w:sz w:val="20"/>
                <w:szCs w:val="20"/>
                <w:lang w:eastAsia="et-EE"/>
              </w:rPr>
              <w:br/>
              <w:t>4.    Mõne terviseisundi korral koos muude ravimite või lisaainetega (ödeemid, diureesiks jm)</w:t>
            </w:r>
          </w:p>
        </w:tc>
      </w:tr>
      <w:tr w:rsidR="007A7D64" w:rsidRPr="007A7D64" w14:paraId="1AD56303" w14:textId="77777777" w:rsidTr="007A7D64">
        <w:tc>
          <w:tcPr>
            <w:tcW w:w="0" w:type="auto"/>
            <w:tcBorders>
              <w:top w:val="outset" w:sz="6" w:space="0" w:color="auto"/>
              <w:left w:val="outset" w:sz="6" w:space="0" w:color="auto"/>
              <w:bottom w:val="outset" w:sz="6" w:space="0" w:color="auto"/>
              <w:right w:val="outset" w:sz="6" w:space="0" w:color="auto"/>
            </w:tcBorders>
            <w:hideMark/>
          </w:tcPr>
          <w:p w14:paraId="28B24251" w14:textId="77777777" w:rsidR="007A7D64" w:rsidRPr="007A7D64" w:rsidRDefault="007A7D64" w:rsidP="007A7D64">
            <w:pPr>
              <w:spacing w:after="0" w:line="450" w:lineRule="atLeast"/>
              <w:rPr>
                <w:rFonts w:ascii="Arial" w:eastAsia="Times New Roman" w:hAnsi="Arial" w:cs="Arial"/>
                <w:sz w:val="20"/>
                <w:szCs w:val="20"/>
                <w:lang w:eastAsia="et-EE"/>
              </w:rPr>
            </w:pPr>
            <w:hyperlink r:id="rId5" w:history="1">
              <w:r w:rsidRPr="007A7D64">
                <w:rPr>
                  <w:rFonts w:ascii="Arial" w:eastAsia="Times New Roman" w:hAnsi="Arial" w:cs="Arial"/>
                  <w:color w:val="DC0D0D"/>
                  <w:sz w:val="20"/>
                  <w:szCs w:val="20"/>
                  <w:u w:val="single"/>
                  <w:lang w:eastAsia="et-EE"/>
                </w:rPr>
                <w:t>HUMER füsioloogiline mereveelahus 5 ml x 18 ampulli</w:t>
              </w:r>
            </w:hyperlink>
          </w:p>
          <w:p w14:paraId="59A6D4DF" w14:textId="77777777" w:rsidR="007A7D64" w:rsidRPr="007A7D64" w:rsidRDefault="007A7D64" w:rsidP="007A7D64">
            <w:pPr>
              <w:spacing w:after="0" w:line="450" w:lineRule="atLeast"/>
              <w:rPr>
                <w:rFonts w:ascii="Arial" w:eastAsia="Times New Roman" w:hAnsi="Arial" w:cs="Arial"/>
                <w:sz w:val="20"/>
                <w:szCs w:val="20"/>
                <w:lang w:eastAsia="et-EE"/>
              </w:rPr>
            </w:pPr>
            <w:hyperlink r:id="rId6" w:history="1">
              <w:r w:rsidRPr="007A7D64">
                <w:rPr>
                  <w:rFonts w:ascii="Arial" w:eastAsia="Times New Roman" w:hAnsi="Arial" w:cs="Arial"/>
                  <w:color w:val="DC0D0D"/>
                  <w:sz w:val="20"/>
                  <w:szCs w:val="20"/>
                  <w:u w:val="single"/>
                  <w:lang w:eastAsia="et-EE"/>
                </w:rPr>
                <w:t>HUMER füsioloogiline soolalahus aerosool 150 ml</w:t>
              </w:r>
            </w:hyperlink>
          </w:p>
        </w:tc>
        <w:tc>
          <w:tcPr>
            <w:tcW w:w="0" w:type="auto"/>
            <w:tcBorders>
              <w:top w:val="outset" w:sz="6" w:space="0" w:color="auto"/>
              <w:left w:val="outset" w:sz="6" w:space="0" w:color="auto"/>
              <w:bottom w:val="outset" w:sz="6" w:space="0" w:color="auto"/>
              <w:right w:val="outset" w:sz="6" w:space="0" w:color="auto"/>
            </w:tcBorders>
            <w:hideMark/>
          </w:tcPr>
          <w:p w14:paraId="704158BC" w14:textId="77777777" w:rsidR="007A7D64" w:rsidRPr="007A7D64" w:rsidRDefault="007A7D64" w:rsidP="007A7D64">
            <w:pPr>
              <w:spacing w:after="0" w:line="450" w:lineRule="atLeast"/>
              <w:rPr>
                <w:rFonts w:ascii="Arial" w:eastAsia="Times New Roman" w:hAnsi="Arial" w:cs="Arial"/>
                <w:sz w:val="20"/>
                <w:szCs w:val="20"/>
                <w:lang w:eastAsia="et-EE"/>
              </w:rPr>
            </w:pPr>
            <w:hyperlink r:id="rId7" w:history="1">
              <w:r w:rsidRPr="007A7D64">
                <w:rPr>
                  <w:rFonts w:ascii="Arial" w:eastAsia="Times New Roman" w:hAnsi="Arial" w:cs="Arial"/>
                  <w:color w:val="DC0D0D"/>
                  <w:sz w:val="20"/>
                  <w:szCs w:val="20"/>
                  <w:u w:val="single"/>
                  <w:lang w:eastAsia="et-EE"/>
                </w:rPr>
                <w:t>Tsilk! Viirusevastane looduslik nina- ja kurgusprei. Sobib ka allergikutele</w:t>
              </w:r>
            </w:hyperlink>
          </w:p>
          <w:p w14:paraId="15F60974" w14:textId="77777777" w:rsidR="007A7D64" w:rsidRPr="007A7D64" w:rsidRDefault="007A7D64" w:rsidP="007A7D64">
            <w:pPr>
              <w:spacing w:after="0" w:line="450" w:lineRule="atLeast"/>
              <w:rPr>
                <w:rFonts w:ascii="Arial" w:eastAsia="Times New Roman" w:hAnsi="Arial" w:cs="Arial"/>
                <w:sz w:val="20"/>
                <w:szCs w:val="20"/>
                <w:lang w:eastAsia="et-EE"/>
              </w:rPr>
            </w:pPr>
            <w:hyperlink r:id="rId8" w:history="1">
              <w:r w:rsidRPr="007A7D64">
                <w:rPr>
                  <w:rFonts w:ascii="Arial" w:eastAsia="Times New Roman" w:hAnsi="Arial" w:cs="Arial"/>
                  <w:color w:val="333333"/>
                  <w:sz w:val="20"/>
                  <w:szCs w:val="20"/>
                  <w:u w:val="single"/>
                  <w:lang w:eastAsia="et-EE"/>
                </w:rPr>
                <w:t>Inhaleeritav lahus VISCOFLU ampullides (10 x 5 ml)</w:t>
              </w:r>
            </w:hyperlink>
          </w:p>
        </w:tc>
      </w:tr>
    </w:tbl>
    <w:p w14:paraId="07442297" w14:textId="77777777" w:rsidR="007A7D64" w:rsidRPr="007A7D64" w:rsidRDefault="007A7D64" w:rsidP="007A7D64">
      <w:pPr>
        <w:spacing w:before="240" w:after="240" w:line="240" w:lineRule="auto"/>
        <w:rPr>
          <w:rFonts w:ascii="Arial" w:eastAsia="Times New Roman" w:hAnsi="Arial" w:cs="Arial"/>
          <w:color w:val="646464"/>
          <w:sz w:val="26"/>
          <w:szCs w:val="26"/>
          <w:lang w:eastAsia="et-EE"/>
        </w:rPr>
      </w:pPr>
      <w:r w:rsidRPr="007A7D64">
        <w:rPr>
          <w:rFonts w:ascii="Arial" w:eastAsia="Times New Roman" w:hAnsi="Arial" w:cs="Arial"/>
          <w:color w:val="646464"/>
          <w:sz w:val="26"/>
          <w:szCs w:val="26"/>
          <w:lang w:eastAsia="et-EE"/>
        </w:rPr>
        <w:t> </w:t>
      </w:r>
    </w:p>
    <w:p w14:paraId="5BEFACAE" w14:textId="77777777" w:rsidR="007A7D64" w:rsidRPr="007A7D64" w:rsidRDefault="007A7D64" w:rsidP="007A7D64">
      <w:pPr>
        <w:spacing w:before="240" w:after="240" w:line="240" w:lineRule="auto"/>
        <w:rPr>
          <w:rFonts w:ascii="Arial" w:eastAsia="Times New Roman" w:hAnsi="Arial" w:cs="Arial"/>
          <w:color w:val="646464"/>
          <w:sz w:val="26"/>
          <w:szCs w:val="26"/>
          <w:lang w:eastAsia="et-EE"/>
        </w:rPr>
      </w:pPr>
      <w:r w:rsidRPr="007A7D64">
        <w:rPr>
          <w:rFonts w:ascii="Arial" w:eastAsia="Times New Roman" w:hAnsi="Arial" w:cs="Arial"/>
          <w:color w:val="646464"/>
          <w:sz w:val="26"/>
          <w:szCs w:val="26"/>
          <w:lang w:eastAsia="et-EE"/>
        </w:rPr>
        <w:t> </w:t>
      </w:r>
    </w:p>
    <w:p w14:paraId="14C08766" w14:textId="77777777" w:rsidR="007A7D64" w:rsidRPr="007A7D64" w:rsidRDefault="007A7D64" w:rsidP="007A7D64">
      <w:pPr>
        <w:spacing w:before="240" w:after="240" w:line="240" w:lineRule="auto"/>
        <w:rPr>
          <w:rFonts w:ascii="Arial" w:eastAsia="Times New Roman" w:hAnsi="Arial" w:cs="Arial"/>
          <w:color w:val="646464"/>
          <w:sz w:val="26"/>
          <w:szCs w:val="26"/>
          <w:lang w:eastAsia="et-EE"/>
        </w:rPr>
      </w:pPr>
      <w:r w:rsidRPr="007A7D64">
        <w:rPr>
          <w:rFonts w:ascii="Arial" w:eastAsia="Times New Roman" w:hAnsi="Arial" w:cs="Arial"/>
          <w:color w:val="646464"/>
          <w:sz w:val="26"/>
          <w:szCs w:val="26"/>
          <w:lang w:eastAsia="et-EE"/>
        </w:rPr>
        <w:t> </w:t>
      </w:r>
    </w:p>
    <w:p w14:paraId="716008A5" w14:textId="323987BB" w:rsidR="00A25FCF" w:rsidRDefault="00000000"/>
    <w:p w14:paraId="6418EEAB" w14:textId="77777777" w:rsidR="007A7D64" w:rsidRDefault="007A7D64"/>
    <w:p w14:paraId="2A5FD229" w14:textId="43890C3F" w:rsidR="007A7D64" w:rsidRDefault="007A7D64"/>
    <w:p w14:paraId="7BA7AE97" w14:textId="77777777" w:rsidR="007A7D64" w:rsidRDefault="007A7D64"/>
    <w:sectPr w:rsidR="007A7D64" w:rsidSect="007A7D6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05"/>
    <w:rsid w:val="00297BC0"/>
    <w:rsid w:val="00334423"/>
    <w:rsid w:val="005769B1"/>
    <w:rsid w:val="007A7D64"/>
    <w:rsid w:val="008E4C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B15D"/>
  <w15:chartTrackingRefBased/>
  <w15:docId w15:val="{3503E49A-68A4-4BA9-9D41-45B81C86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D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D64"/>
    <w:rPr>
      <w:color w:val="0563C1" w:themeColor="hyperlink"/>
      <w:u w:val="single"/>
    </w:rPr>
  </w:style>
  <w:style w:type="character" w:styleId="UnresolvedMention">
    <w:name w:val="Unresolved Mention"/>
    <w:basedOn w:val="DefaultParagraphFont"/>
    <w:uiPriority w:val="99"/>
    <w:semiHidden/>
    <w:unhideWhenUsed/>
    <w:rsid w:val="007A7D64"/>
    <w:rPr>
      <w:color w:val="605E5C"/>
      <w:shd w:val="clear" w:color="auto" w:fill="E1DFDD"/>
    </w:rPr>
  </w:style>
  <w:style w:type="character" w:customStyle="1" w:styleId="Heading1Char">
    <w:name w:val="Heading 1 Char"/>
    <w:basedOn w:val="DefaultParagraphFont"/>
    <w:link w:val="Heading1"/>
    <w:uiPriority w:val="9"/>
    <w:rsid w:val="007A7D6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982939">
      <w:bodyDiv w:val="1"/>
      <w:marLeft w:val="0"/>
      <w:marRight w:val="0"/>
      <w:marTop w:val="0"/>
      <w:marBottom w:val="0"/>
      <w:divBdr>
        <w:top w:val="none" w:sz="0" w:space="0" w:color="auto"/>
        <w:left w:val="none" w:sz="0" w:space="0" w:color="auto"/>
        <w:bottom w:val="none" w:sz="0" w:space="0" w:color="auto"/>
        <w:right w:val="none" w:sz="0" w:space="0" w:color="auto"/>
      </w:divBdr>
      <w:divsChild>
        <w:div w:id="484052011">
          <w:marLeft w:val="0"/>
          <w:marRight w:val="0"/>
          <w:marTop w:val="0"/>
          <w:marBottom w:val="0"/>
          <w:divBdr>
            <w:top w:val="none" w:sz="0" w:space="0" w:color="auto"/>
            <w:left w:val="none" w:sz="0" w:space="0" w:color="auto"/>
            <w:bottom w:val="none" w:sz="0" w:space="0" w:color="auto"/>
            <w:right w:val="none" w:sz="0" w:space="0" w:color="auto"/>
          </w:divBdr>
          <w:divsChild>
            <w:div w:id="1929650439">
              <w:marLeft w:val="0"/>
              <w:marRight w:val="0"/>
              <w:marTop w:val="0"/>
              <w:marBottom w:val="0"/>
              <w:divBdr>
                <w:top w:val="none" w:sz="0" w:space="0" w:color="auto"/>
                <w:left w:val="none" w:sz="0" w:space="0" w:color="auto"/>
                <w:bottom w:val="none" w:sz="0" w:space="0" w:color="auto"/>
                <w:right w:val="none" w:sz="0" w:space="0" w:color="auto"/>
              </w:divBdr>
              <w:divsChild>
                <w:div w:id="1394039457">
                  <w:marLeft w:val="0"/>
                  <w:marRight w:val="0"/>
                  <w:marTop w:val="90"/>
                  <w:marBottom w:val="90"/>
                  <w:divBdr>
                    <w:top w:val="none" w:sz="0" w:space="0" w:color="auto"/>
                    <w:left w:val="none" w:sz="0" w:space="0" w:color="auto"/>
                    <w:bottom w:val="none" w:sz="0" w:space="0" w:color="auto"/>
                    <w:right w:val="none" w:sz="0" w:space="0" w:color="auto"/>
                  </w:divBdr>
                </w:div>
                <w:div w:id="190814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visetestid.ee/tooted/inhaleeritav-lahus-viscoflu-ampullides-10-x-5-ml" TargetMode="External"/><Relationship Id="rId3" Type="http://schemas.openxmlformats.org/officeDocument/2006/relationships/webSettings" Target="webSettings.xml"/><Relationship Id="rId7" Type="http://schemas.openxmlformats.org/officeDocument/2006/relationships/hyperlink" Target="https://tervisetestid.ee/tooted/tsilk-viirusevastane-looduslik-nina-ja-kurgusprei-sobib-ka-allergikute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rvisetestid.ee/tooted/humer-f%C3%BCsioloogiline-soolalahus-aerosool-150-ml" TargetMode="External"/><Relationship Id="rId5" Type="http://schemas.openxmlformats.org/officeDocument/2006/relationships/hyperlink" Target="https://tervisetestid.ee/tooted/humer-f%C3%BCsioloogiline-mereveelahus-5-ml-x-18-ampulli" TargetMode="External"/><Relationship Id="rId10" Type="http://schemas.openxmlformats.org/officeDocument/2006/relationships/theme" Target="theme/theme1.xml"/><Relationship Id="rId4" Type="http://schemas.openxmlformats.org/officeDocument/2006/relationships/hyperlink" Target="https://tervisetestid.ee/uudised/isotooniline-lahus-vs-h%C3%BCpertooniline-lahus-kumb-sobib-nina-loputamisek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472</Words>
  <Characters>2740</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Jonas</dc:creator>
  <cp:keywords/>
  <dc:description/>
  <cp:lastModifiedBy>Katrin Jonas</cp:lastModifiedBy>
  <cp:revision>2</cp:revision>
  <dcterms:created xsi:type="dcterms:W3CDTF">2023-01-31T06:46:00Z</dcterms:created>
  <dcterms:modified xsi:type="dcterms:W3CDTF">2023-01-31T06:46:00Z</dcterms:modified>
</cp:coreProperties>
</file>